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AF" w:rsidRPr="001F3E84" w:rsidRDefault="00A33DAF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1F3E84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8B51A6" w:rsidRPr="001F3E84">
        <w:rPr>
          <w:rFonts w:asciiTheme="majorHAnsi" w:eastAsiaTheme="majorEastAsia" w:hAnsiTheme="majorHAnsi"/>
          <w:b/>
          <w:sz w:val="28"/>
          <w:szCs w:val="28"/>
        </w:rPr>
        <w:t>標準品</w:t>
      </w:r>
      <w:r w:rsidRPr="001F3E84">
        <w:rPr>
          <w:rFonts w:asciiTheme="majorHAnsi" w:eastAsiaTheme="majorEastAsia" w:hAnsiTheme="majorHAnsi"/>
          <w:b/>
          <w:sz w:val="28"/>
          <w:szCs w:val="28"/>
        </w:rPr>
        <w:t>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95"/>
        <w:gridCol w:w="2445"/>
        <w:gridCol w:w="863"/>
        <w:gridCol w:w="2410"/>
        <w:gridCol w:w="968"/>
      </w:tblGrid>
      <w:tr w:rsidR="00A33DAF" w:rsidRPr="001F3E84" w:rsidTr="00E0456B">
        <w:trPr>
          <w:trHeight w:val="3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DAF" w:rsidRPr="001F3E84" w:rsidRDefault="00A33D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33DAF" w:rsidRPr="001F3E84" w:rsidRDefault="00A33D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1F3E84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4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33DAF" w:rsidRPr="001F3E84" w:rsidRDefault="008B51A6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1F3E84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標準品</w:t>
            </w:r>
          </w:p>
        </w:tc>
      </w:tr>
      <w:tr w:rsidR="00A33DAF" w:rsidRPr="001F3E84" w:rsidTr="00E0456B">
        <w:trPr>
          <w:trHeight w:val="159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3DAF" w:rsidRPr="001F3E84" w:rsidRDefault="00A33D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1F3E84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AF" w:rsidRPr="001F3E84" w:rsidRDefault="003D5370" w:rsidP="001C19F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1F3E84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ラベプラゾールナトリウム錠</w:t>
            </w:r>
            <w:r w:rsidR="00FA301B" w:rsidRPr="001F3E84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2</w:t>
            </w:r>
            <w:r w:rsidRPr="001F3E84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0mg</w:t>
            </w:r>
            <w:bookmarkEnd w:id="0"/>
            <w:bookmarkEnd w:id="1"/>
            <w:r w:rsidRPr="001F3E84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="003C7D85" w:rsidRPr="001F3E84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NP</w:t>
            </w:r>
            <w:r w:rsidRPr="001F3E84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24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19F5" w:rsidRPr="001F3E84" w:rsidRDefault="008B51A6" w:rsidP="001C19F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1F3E84">
              <w:rPr>
                <w:rFonts w:asciiTheme="majorHAnsi" w:eastAsiaTheme="majorEastAsia" w:hAnsiTheme="majorHAnsi"/>
                <w:b/>
                <w:sz w:val="22"/>
                <w:szCs w:val="22"/>
              </w:rPr>
              <w:t>パリエット錠20mg</w:t>
            </w:r>
          </w:p>
        </w:tc>
      </w:tr>
      <w:tr w:rsidR="00A33DAF" w:rsidRPr="004C302B" w:rsidTr="00E0456B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3DAF" w:rsidRPr="001F3E84" w:rsidRDefault="00A33D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1F3E84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33DAF" w:rsidRPr="001F3E84" w:rsidRDefault="00CD77C7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A33DAF" w:rsidRPr="001F3E84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3DAF" w:rsidRPr="001F3E84" w:rsidRDefault="00A33DAF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A33DAF" w:rsidRPr="001F3E84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3DAF" w:rsidRPr="001F3E84" w:rsidRDefault="00A33DAF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1F3E84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3DAF" w:rsidRPr="001F3E84" w:rsidRDefault="00A33DAF" w:rsidP="001F3E8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1錠中</w:t>
            </w:r>
            <w:r w:rsidR="003D5370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「</w:t>
            </w:r>
            <w:r w:rsidR="00903FBF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日本薬局方</w:t>
            </w:r>
            <w:r w:rsidR="001F3E84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3D5370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ラベプラゾールナトリウム」</w:t>
            </w:r>
            <w:r w:rsidR="00FA301B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2</w:t>
            </w:r>
            <w:r w:rsidR="008D48BF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mg含有</w:t>
            </w:r>
          </w:p>
        </w:tc>
      </w:tr>
      <w:tr w:rsidR="00A33DAF" w:rsidRPr="004C302B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3DAF" w:rsidRPr="001F3E84" w:rsidRDefault="00A33D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1F3E84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3DAF" w:rsidRPr="001F3E84" w:rsidRDefault="003D5370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プロトンポンプ阻害剤</w:t>
            </w:r>
          </w:p>
        </w:tc>
      </w:tr>
      <w:tr w:rsidR="00A33DAF" w:rsidRPr="004C302B" w:rsidTr="00E0456B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3DAF" w:rsidRPr="001F3E84" w:rsidRDefault="00A33D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1F3E84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33DAF" w:rsidRPr="001F3E84" w:rsidRDefault="006C1FDE" w:rsidP="009D277F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65.9</w:t>
            </w:r>
            <w:r w:rsidR="000044A3" w:rsidRPr="001F3E84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0</w:t>
            </w:r>
            <w:r w:rsidR="00E82F39" w:rsidRPr="001F3E84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円／錠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3DAF" w:rsidRPr="001F3E84" w:rsidRDefault="00F64E7C" w:rsidP="006C1FDE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6C1FDE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69.2</w:t>
            </w:r>
            <w:r w:rsidR="000044A3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A33DAF" w:rsidRPr="001F3E84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A33DAF" w:rsidRPr="004C302B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3DAF" w:rsidRPr="001F3E84" w:rsidRDefault="00A33D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1F3E84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958" w:rsidRPr="001F3E84" w:rsidRDefault="006C1FDE" w:rsidP="009D277F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103.3</w:t>
            </w:r>
            <w:r w:rsidR="000044A3" w:rsidRPr="001F3E84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0</w:t>
            </w:r>
            <w:r w:rsidR="00E82F39" w:rsidRPr="001F3E84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円</w:t>
            </w:r>
          </w:p>
        </w:tc>
      </w:tr>
      <w:tr w:rsidR="00FA301B" w:rsidRPr="004C302B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01B" w:rsidRPr="001F3E84" w:rsidRDefault="00FA301B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1F3E84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3E84" w:rsidRDefault="00FA301B" w:rsidP="001F3E84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胃潰瘍、十二指腸潰瘍、吻合部潰瘍、逆流性食道炎、</w:t>
            </w:r>
            <w:bookmarkStart w:id="2" w:name="OLE_LINK4"/>
            <w:proofErr w:type="spellStart"/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Zollinger</w:t>
            </w:r>
            <w:proofErr w:type="spellEnd"/>
            <w:r w:rsid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-</w:t>
            </w: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Ellison</w:t>
            </w:r>
            <w:bookmarkEnd w:id="2"/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症候群</w:t>
            </w:r>
          </w:p>
          <w:p w:rsidR="00FA301B" w:rsidRPr="001F3E84" w:rsidRDefault="00FA301B" w:rsidP="001F3E84">
            <w:pPr>
              <w:adjustRightInd w:val="0"/>
              <w:spacing w:line="300" w:lineRule="atLeast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【</w:t>
            </w:r>
            <w:r w:rsidR="008B51A6" w:rsidRPr="001F3E84">
              <w:rPr>
                <w:rFonts w:asciiTheme="minorHAnsi" w:eastAsiaTheme="minorEastAsia" w:hAnsiTheme="minorHAnsi"/>
                <w:sz w:val="18"/>
                <w:szCs w:val="18"/>
              </w:rPr>
              <w:t>標準品</w:t>
            </w: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と同じ】</w:t>
            </w:r>
          </w:p>
        </w:tc>
      </w:tr>
      <w:tr w:rsidR="0059676E" w:rsidRPr="004C302B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76E" w:rsidRPr="001F3E84" w:rsidRDefault="0059676E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1F3E84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00714" w:rsidRPr="001F3E84" w:rsidRDefault="00E00714" w:rsidP="00E00714">
            <w:pPr>
              <w:adjustRightInd w:val="0"/>
              <w:snapToGrid w:val="0"/>
              <w:spacing w:line="240" w:lineRule="atLeast"/>
              <w:ind w:left="7920" w:hangingChars="4400" w:hanging="7920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○胃潰瘍、十二指腸潰瘍、吻合部潰瘍、</w:t>
            </w:r>
            <w:proofErr w:type="spellStart"/>
            <w:r w:rsidR="00473EB8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Zollinger</w:t>
            </w:r>
            <w:proofErr w:type="spellEnd"/>
            <w:r w:rsid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-</w:t>
            </w:r>
            <w:r w:rsidR="00473EB8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Ellison</w:t>
            </w: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症候群</w:t>
            </w:r>
          </w:p>
          <w:p w:rsidR="00E00714" w:rsidRPr="001F3E84" w:rsidRDefault="00256169" w:rsidP="003E0A3D">
            <w:pPr>
              <w:adjustRightInd w:val="0"/>
              <w:snapToGrid w:val="0"/>
              <w:spacing w:line="240" w:lineRule="atLeast"/>
              <w:ind w:left="184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通常、成人にはラベプラゾールナトリウムとして1</w:t>
            </w:r>
            <w:r w:rsidR="00E00714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回</w:t>
            </w: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10</w:t>
            </w:r>
            <w:r w:rsid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mg</w:t>
            </w: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を</w:t>
            </w:r>
            <w:r w:rsidR="003C7D85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</w:t>
            </w: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日</w:t>
            </w:r>
            <w:r w:rsidR="003C7D85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</w:t>
            </w: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回経口投与するが、病状により1</w:t>
            </w:r>
            <w:r w:rsidR="00E00714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回</w:t>
            </w: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20</w:t>
            </w:r>
            <w:r w:rsid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mg</w:t>
            </w: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を1日1回経口投与することができる。なお、通常、胃潰瘍、吻合部潰瘍では8週間まで、十二指腸潰瘍では6</w:t>
            </w:r>
            <w:r w:rsidR="00E00714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週間までの投与とする。</w:t>
            </w:r>
          </w:p>
          <w:p w:rsidR="00E00714" w:rsidRPr="001F3E84" w:rsidRDefault="00E00714" w:rsidP="00E00714">
            <w:pPr>
              <w:adjustRightInd w:val="0"/>
              <w:snapToGrid w:val="0"/>
              <w:spacing w:line="240" w:lineRule="atLeast"/>
              <w:ind w:left="7920" w:hangingChars="4400" w:hanging="7920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○逆流性食道炎</w:t>
            </w:r>
          </w:p>
          <w:p w:rsidR="001F3E84" w:rsidRDefault="00E00714" w:rsidP="001F3E84">
            <w:pPr>
              <w:adjustRightInd w:val="0"/>
              <w:snapToGrid w:val="0"/>
              <w:spacing w:line="240" w:lineRule="atLeast"/>
              <w:ind w:left="184" w:hanging="1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逆流性食道炎</w:t>
            </w:r>
            <w:r w:rsidR="00256169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の治療においては、通常、成人にはラベプラゾールナトリウムとして1</w:t>
            </w: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回</w:t>
            </w:r>
            <w:r w:rsidR="00256169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10</w:t>
            </w:r>
            <w:r w:rsid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mg</w:t>
            </w:r>
            <w:r w:rsidR="00256169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を1日1回経口投与するが、病状により1</w:t>
            </w: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回</w:t>
            </w:r>
            <w:r w:rsidR="00256169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20</w:t>
            </w:r>
            <w:r w:rsid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mg</w:t>
            </w:r>
            <w:r w:rsidR="00256169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を1日1回経口投与することができる。なお、通常、8</w:t>
            </w: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週間までの投与とする。ま</w:t>
            </w:r>
            <w:r w:rsidR="00256169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た、プロトンポンプインヒビターによる治療で効果不十分な場合、1</w:t>
            </w: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回</w:t>
            </w:r>
            <w:r w:rsidR="00256169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10</w:t>
            </w:r>
            <w:r w:rsid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mg</w:t>
            </w:r>
            <w:r w:rsidR="00256169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又は1</w:t>
            </w: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回</w:t>
            </w:r>
            <w:r w:rsidRPr="001F3E84">
              <w:rPr>
                <w:rFonts w:asciiTheme="minorHAnsi" w:eastAsiaTheme="minorEastAsia" w:hAnsiTheme="minorHAnsi"/>
                <w:bCs/>
                <w:sz w:val="18"/>
                <w:szCs w:val="18"/>
              </w:rPr>
              <w:t>20</w:t>
            </w:r>
            <w:r w:rsid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mg</w:t>
            </w:r>
            <w:r w:rsidR="00256169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を1日2</w:t>
            </w:r>
            <w:r w:rsidR="006C1FDE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回、さら</w:t>
            </w:r>
            <w:r w:rsidR="00256169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に8</w:t>
            </w: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週間経口投与することができる。ただし、</w:t>
            </w:r>
            <w:r w:rsidR="003C7D85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</w:t>
            </w: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回</w:t>
            </w:r>
            <w:r w:rsidRPr="001F3E84">
              <w:rPr>
                <w:rFonts w:asciiTheme="minorHAnsi" w:eastAsiaTheme="minorEastAsia" w:hAnsiTheme="minorHAnsi"/>
                <w:bCs/>
                <w:sz w:val="18"/>
                <w:szCs w:val="18"/>
              </w:rPr>
              <w:t>20</w:t>
            </w:r>
            <w:r w:rsid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mg</w:t>
            </w:r>
            <w:r w:rsidR="00256169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1日2</w:t>
            </w: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回投与は重度の粘膜傷害を有する場合に限る。</w:t>
            </w:r>
          </w:p>
          <w:p w:rsidR="0059676E" w:rsidRPr="001F3E84" w:rsidRDefault="0059676E" w:rsidP="001F3E84">
            <w:pPr>
              <w:adjustRightInd w:val="0"/>
              <w:snapToGrid w:val="0"/>
              <w:spacing w:line="240" w:lineRule="atLeast"/>
              <w:ind w:left="184" w:hanging="1"/>
              <w:jc w:val="right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【</w:t>
            </w:r>
            <w:r w:rsidR="008B51A6" w:rsidRPr="001F3E84">
              <w:rPr>
                <w:rFonts w:asciiTheme="minorHAnsi" w:eastAsiaTheme="minorEastAsia" w:hAnsiTheme="minorHAnsi"/>
                <w:sz w:val="18"/>
                <w:szCs w:val="18"/>
              </w:rPr>
              <w:t>標準品</w:t>
            </w: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と同じ】</w:t>
            </w:r>
          </w:p>
        </w:tc>
      </w:tr>
      <w:tr w:rsidR="00A33DAF" w:rsidRPr="004C302B" w:rsidTr="00E0456B">
        <w:trPr>
          <w:trHeight w:val="565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3DAF" w:rsidRPr="001F3E84" w:rsidRDefault="00A33D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1F3E84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4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AF" w:rsidRPr="001F3E84" w:rsidRDefault="006F324B" w:rsidP="00E33F1A">
            <w:pPr>
              <w:adjustRightInd w:val="0"/>
              <w:snapToGrid w:val="0"/>
              <w:spacing w:line="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D-マンニトール、酸化マグネシウム、ヒドロキシプロピルセルロース、カルメロースカルシウム、タルク、ステアリン酸マグネシウム、</w:t>
            </w:r>
            <w:r w:rsidR="00FA301B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エチルセルロース、</w:t>
            </w: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ヒプロメロースフタル酸エステル、グリセリン脂肪酸エステル、酸化チタン、黄色三二酸化鉄、カルナウバロウ</w:t>
            </w: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3DAF" w:rsidRPr="001F3E84" w:rsidRDefault="00FA301B" w:rsidP="00E33F1A">
            <w:pPr>
              <w:adjustRightInd w:val="0"/>
              <w:snapToGrid w:val="0"/>
              <w:spacing w:line="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エチルセルロース、黄色三二酸化鉄、カルナウバロウ、グリセリン脂肪酸エステル、酸化チタン、酸化マグネシウム、ステアリン酸マグネシウム、タルク、低置換度ヒドロキシプロピルセルロース、ヒドロキシプロピルセルロース、ヒプロメロースフタル酸エステル、D</w:t>
            </w:r>
            <w:r w:rsidR="0004300C" w:rsidRPr="001F3E84">
              <w:rPr>
                <w:rFonts w:asciiTheme="minorHAnsi" w:eastAsiaTheme="minorEastAsia" w:hAnsiTheme="minorHAnsi"/>
                <w:sz w:val="18"/>
                <w:szCs w:val="18"/>
              </w:rPr>
              <w:t>-</w:t>
            </w: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マンニトール</w:t>
            </w:r>
          </w:p>
        </w:tc>
      </w:tr>
      <w:tr w:rsidR="00A33DAF" w:rsidRPr="00583359" w:rsidTr="00E0456B">
        <w:trPr>
          <w:trHeight w:val="42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3DAF" w:rsidRPr="001F3E84" w:rsidRDefault="00A33D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1F3E84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A33DAF" w:rsidRPr="001F3E84" w:rsidRDefault="00A33D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1F3E84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F324B" w:rsidRPr="001F3E84" w:rsidRDefault="004618A9" w:rsidP="00E33F1A">
            <w:pPr>
              <w:adjustRightInd w:val="0"/>
              <w:spacing w:line="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処方箋</w:t>
            </w:r>
            <w:r w:rsidR="006F324B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医薬品</w:t>
            </w:r>
          </w:p>
          <w:p w:rsidR="004262EE" w:rsidRDefault="00A33DAF" w:rsidP="004262EE">
            <w:pPr>
              <w:adjustRightInd w:val="0"/>
              <w:spacing w:line="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室温保存</w:t>
            </w:r>
          </w:p>
          <w:p w:rsidR="00A33DAF" w:rsidRPr="001F3E84" w:rsidRDefault="006C21A2" w:rsidP="004262EE">
            <w:pPr>
              <w:adjustRightInd w:val="0"/>
              <w:spacing w:line="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アルミ袋開封後は湿気を避けて保存すること（含量が低下することがある）　</w:t>
            </w:r>
            <w:r w:rsidR="00A33DAF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="00A33DAF" w:rsidRPr="001F3E84">
              <w:rPr>
                <w:rFonts w:asciiTheme="minorHAnsi" w:eastAsiaTheme="minorEastAsia" w:hAnsiTheme="minorHAnsi"/>
                <w:sz w:val="18"/>
                <w:szCs w:val="18"/>
              </w:rPr>
              <w:t>年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F324B" w:rsidRPr="001F3E84" w:rsidRDefault="004618A9" w:rsidP="00E33F1A">
            <w:pPr>
              <w:tabs>
                <w:tab w:val="center" w:pos="2088"/>
              </w:tabs>
              <w:adjustRightInd w:val="0"/>
              <w:spacing w:line="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処方箋</w:t>
            </w:r>
            <w:r w:rsidR="006F324B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医薬品</w:t>
            </w:r>
          </w:p>
          <w:p w:rsidR="004262EE" w:rsidRDefault="004F0DCE" w:rsidP="004262EE">
            <w:pPr>
              <w:tabs>
                <w:tab w:val="center" w:pos="2088"/>
              </w:tabs>
              <w:adjustRightInd w:val="0"/>
              <w:spacing w:line="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</w:p>
          <w:p w:rsidR="00A33DAF" w:rsidRPr="001F3E84" w:rsidRDefault="00FA301B" w:rsidP="004262EE">
            <w:pPr>
              <w:tabs>
                <w:tab w:val="center" w:pos="2088"/>
              </w:tabs>
              <w:adjustRightInd w:val="0"/>
              <w:spacing w:line="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アルミ袋開封後は湿気を避けて保存すること（含量が低下することがある）。</w:t>
            </w:r>
            <w:r w:rsidR="00A33DAF" w:rsidRPr="001F3E84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583359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="00A33DAF" w:rsidRPr="001F3E84">
              <w:rPr>
                <w:rFonts w:asciiTheme="minorHAnsi" w:eastAsiaTheme="minorEastAsia" w:hAnsiTheme="minorHAnsi"/>
                <w:sz w:val="18"/>
                <w:szCs w:val="18"/>
              </w:rPr>
              <w:t>年</w:t>
            </w:r>
          </w:p>
        </w:tc>
      </w:tr>
      <w:tr w:rsidR="00A33DAF" w:rsidRPr="00697E71" w:rsidTr="00E0456B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3DAF" w:rsidRPr="001F3E84" w:rsidRDefault="00A33D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1F3E84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33DAF" w:rsidRPr="001F3E84" w:rsidRDefault="00A33DAF" w:rsidP="00E33F1A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3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AF" w:rsidRPr="001F3E84" w:rsidRDefault="00A33DAF" w:rsidP="00E33F1A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外　観(重量</w:t>
            </w:r>
            <w:r w:rsidR="00C72D9F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直径</w:t>
            </w:r>
            <w:r w:rsidR="00C72D9F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AF" w:rsidRPr="001F3E84" w:rsidRDefault="00A33DAF" w:rsidP="00E33F1A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3DAF" w:rsidRPr="001F3E84" w:rsidRDefault="00A33DAF" w:rsidP="00E33F1A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A33DAF" w:rsidRPr="00697E71" w:rsidTr="00E0456B">
        <w:trPr>
          <w:cantSplit/>
          <w:trHeight w:val="135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3DAF" w:rsidRPr="001F3E84" w:rsidRDefault="00A33DAF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6" w:rsidRPr="001F3E84" w:rsidRDefault="00583359" w:rsidP="00E33F1A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ラベプラゾール</w:t>
            </w:r>
          </w:p>
          <w:p w:rsidR="00282F06" w:rsidRPr="001F3E84" w:rsidRDefault="00583359" w:rsidP="00E33F1A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ナトリウム錠</w:t>
            </w:r>
          </w:p>
          <w:p w:rsidR="00A33DAF" w:rsidRPr="001F3E84" w:rsidRDefault="00FA301B" w:rsidP="00E33F1A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2</w:t>
            </w:r>
            <w:r w:rsidR="00583359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0mg「</w:t>
            </w:r>
            <w:r w:rsidR="003C7D85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NP</w:t>
            </w:r>
            <w:r w:rsidR="00583359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」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9F" w:rsidRPr="001F3E84" w:rsidRDefault="00633554" w:rsidP="001F3E84">
            <w:pPr>
              <w:adjustRightInd w:val="0"/>
              <w:snapToGrid w:val="0"/>
              <w:spacing w:line="0" w:lineRule="atLeast"/>
              <w:ind w:left="180" w:hangingChars="100" w:hanging="18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/>
                <w:sz w:val="18"/>
              </w:rPr>
              <w:object w:dxaOrig="3255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45.75pt" o:ole="">
                  <v:imagedata r:id="rId8" o:title=""/>
                </v:shape>
                <o:OLEObject Type="Embed" ProgID="PBrush" ShapeID="_x0000_i1025" DrawAspect="Content" ObjectID="_1630920484" r:id="rId9"/>
              </w:object>
            </w:r>
          </w:p>
          <w:p w:rsidR="00A33DAF" w:rsidRPr="001F3E84" w:rsidRDefault="00305875" w:rsidP="00903FBF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150</w:t>
            </w:r>
            <w:r w:rsidR="00A33DAF" w:rsidRPr="001F3E84">
              <w:rPr>
                <w:rFonts w:asciiTheme="minorHAnsi" w:eastAsiaTheme="minorEastAsia" w:hAnsiTheme="minorHAnsi"/>
                <w:sz w:val="18"/>
                <w:szCs w:val="18"/>
              </w:rPr>
              <w:t xml:space="preserve">mg　</w:t>
            </w:r>
            <w:r w:rsidR="00F22D5F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</w:t>
            </w:r>
            <w:r w:rsidR="009B17CB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7.3</w:t>
            </w:r>
            <w:r w:rsidR="00A33DAF" w:rsidRPr="001F3E84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2E6AD8" w:rsidRPr="001F3E84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A33DAF" w:rsidRPr="001F3E84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9B17CB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3.5</w:t>
            </w:r>
            <w:r w:rsidR="00A33DAF" w:rsidRPr="001F3E84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6B" w:rsidRDefault="00E33F1A" w:rsidP="00E33F1A">
            <w:pPr>
              <w:adjustRightInd w:val="0"/>
              <w:spacing w:line="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淡黄色の</w:t>
            </w:r>
          </w:p>
          <w:p w:rsidR="00E0456B" w:rsidRDefault="00E33F1A" w:rsidP="00E33F1A">
            <w:pPr>
              <w:adjustRightInd w:val="0"/>
              <w:spacing w:line="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フィルムコーティング</w:t>
            </w:r>
            <w:r w:rsidR="00D94903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  <w:p w:rsidR="00A33DAF" w:rsidRPr="001F3E84" w:rsidRDefault="00E33F1A" w:rsidP="00E33F1A">
            <w:pPr>
              <w:adjustRightInd w:val="0"/>
              <w:spacing w:line="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（腸溶錠）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3DAF" w:rsidRPr="001F3E84" w:rsidRDefault="00A33DAF" w:rsidP="00E33F1A">
            <w:pPr>
              <w:adjustRightInd w:val="0"/>
              <w:spacing w:line="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NP</w:t>
            </w:r>
            <w:r w:rsidR="00A84F73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-</w:t>
            </w:r>
            <w:r w:rsidR="00E33F1A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305875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2</w:t>
            </w:r>
            <w:r w:rsidR="00E33F1A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</w:p>
        </w:tc>
      </w:tr>
      <w:tr w:rsidR="00C72D9F" w:rsidRPr="00697E71" w:rsidTr="00E0456B">
        <w:trPr>
          <w:cantSplit/>
          <w:trHeight w:val="35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2D9F" w:rsidRPr="001F3E84" w:rsidRDefault="00C72D9F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9F" w:rsidRPr="001F3E84" w:rsidRDefault="008B51A6" w:rsidP="00E33F1A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/>
                <w:bCs/>
                <w:sz w:val="18"/>
                <w:szCs w:val="18"/>
              </w:rPr>
              <w:t>標準品</w:t>
            </w:r>
            <w:r w:rsidR="00C72D9F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r w:rsidR="00FA301B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2</w:t>
            </w:r>
            <w:r w:rsidR="00C72D9F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0</w:t>
            </w:r>
            <w:r w:rsidR="00C72D9F" w:rsidRPr="001F3E84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9F" w:rsidRPr="001F3E84" w:rsidRDefault="00305875" w:rsidP="00903FBF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163</w:t>
            </w:r>
            <w:r w:rsidR="00C72D9F" w:rsidRPr="001F3E84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="00C72D9F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C72D9F" w:rsidRPr="001F3E84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59676E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</w:t>
            </w:r>
            <w:r w:rsidR="009B17CB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7.2</w:t>
            </w:r>
            <w:r w:rsidR="00C72D9F" w:rsidRPr="001F3E84">
              <w:rPr>
                <w:rFonts w:asciiTheme="minorHAnsi" w:eastAsiaTheme="minorEastAsia" w:hAnsiTheme="minorHAnsi"/>
                <w:sz w:val="18"/>
                <w:szCs w:val="18"/>
              </w:rPr>
              <w:t xml:space="preserve">mm　</w:t>
            </w:r>
            <w:r w:rsidR="00C72D9F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9B17CB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3.6</w:t>
            </w:r>
            <w:r w:rsidR="00C72D9F" w:rsidRPr="001F3E84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6B" w:rsidRDefault="00E33F1A" w:rsidP="00E33F1A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淡黄色</w:t>
            </w:r>
          </w:p>
          <w:p w:rsidR="00C72D9F" w:rsidRPr="001F3E84" w:rsidRDefault="004618A9" w:rsidP="00E33F1A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フィルムコーティング</w:t>
            </w:r>
            <w:r w:rsidR="00C72D9F"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</w:p>
          <w:p w:rsidR="00E33F1A" w:rsidRPr="001F3E84" w:rsidRDefault="00E33F1A" w:rsidP="00E33F1A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（腸溶錠）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2D9F" w:rsidRPr="001F3E84" w:rsidRDefault="00C72D9F" w:rsidP="00E33F1A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FA40C0" w:rsidRPr="002A4937" w:rsidTr="006173EF">
        <w:trPr>
          <w:trHeight w:val="351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0C0" w:rsidRPr="001F3E84" w:rsidRDefault="00FA40C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1F3E84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FA40C0" w:rsidRPr="001F3E84" w:rsidRDefault="00FA40C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1F3E84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FA40C0" w:rsidRPr="001F3E84" w:rsidRDefault="00FA40C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1F3E84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40C0" w:rsidRPr="001F3E84" w:rsidRDefault="00FA40C0" w:rsidP="004C302B">
            <w:pPr>
              <w:pStyle w:val="a4"/>
              <w:spacing w:line="300" w:lineRule="atLeast"/>
              <w:rPr>
                <w:rFonts w:asciiTheme="minorHAnsi" w:eastAsiaTheme="minorEastAsia" w:hAnsiTheme="minorHAnsi" w:hint="eastAsia"/>
              </w:rPr>
            </w:pPr>
            <w:r w:rsidRPr="001F3E84">
              <w:rPr>
                <w:rFonts w:asciiTheme="minorHAnsi" w:eastAsiaTheme="minorEastAsia" w:hAnsiTheme="minorHAnsi" w:hint="eastAsia"/>
              </w:rPr>
              <w:t>溶出試験</w:t>
            </w:r>
          </w:p>
          <w:p w:rsidR="00633554" w:rsidRPr="001F3E84" w:rsidRDefault="00633554" w:rsidP="00633554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</w:t>
            </w:r>
            <w:r w:rsidRPr="001F3E84">
              <w:rPr>
                <w:rFonts w:asciiTheme="minorHAnsi" w:eastAsiaTheme="minorEastAsia" w:hAnsiTheme="minorHAnsi" w:hint="eastAsia"/>
                <w:sz w:val="18"/>
              </w:rPr>
              <w:t>pH6.0</w:t>
            </w: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（50rpm）における平均溶出率</w:t>
            </w:r>
          </w:p>
          <w:p w:rsidR="00633554" w:rsidRPr="001F3E84" w:rsidRDefault="00633554" w:rsidP="00E0456B">
            <w:pPr>
              <w:pStyle w:val="a4"/>
              <w:spacing w:line="300" w:lineRule="atLeast"/>
              <w:jc w:val="right"/>
              <w:rPr>
                <w:rFonts w:asciiTheme="minorHAnsi" w:eastAsiaTheme="minorEastAsia" w:hAnsiTheme="minorHAnsi" w:hint="eastAsia"/>
              </w:rPr>
            </w:pPr>
            <w:r w:rsidRPr="001F3E84">
              <w:rPr>
                <w:rFonts w:asciiTheme="minorHAnsi" w:eastAsiaTheme="minorEastAsia" w:hAnsiTheme="minorHAnsi" w:hint="eastAsia"/>
              </w:rPr>
              <w:t xml:space="preserve"> 　　　　　　　　　　（Mean±S.D.、n=12）</w:t>
            </w:r>
          </w:p>
          <w:p w:rsidR="00FA40C0" w:rsidRPr="001F3E84" w:rsidRDefault="00E0456B" w:rsidP="004C302B">
            <w:pPr>
              <w:pStyle w:val="a4"/>
              <w:spacing w:line="300" w:lineRule="atLeast"/>
              <w:rPr>
                <w:rFonts w:asciiTheme="minorHAnsi" w:eastAsiaTheme="minorEastAsia" w:hAnsiTheme="minorHAnsi" w:hint="eastAsia"/>
              </w:rPr>
            </w:pPr>
            <w:r>
              <w:object w:dxaOrig="8640" w:dyaOrig="5310">
                <v:shape id="_x0000_i1044" type="#_x0000_t75" style="width:201.75pt;height:123.75pt" o:ole="">
                  <v:imagedata r:id="rId10" o:title=""/>
                </v:shape>
                <o:OLEObject Type="Embed" ProgID="PBrush" ShapeID="_x0000_i1044" DrawAspect="Content" ObjectID="_1630920485" r:id="rId11"/>
              </w:object>
            </w:r>
          </w:p>
          <w:p w:rsidR="00E0456B" w:rsidRDefault="00E0456B" w:rsidP="00D630A2">
            <w:pPr>
              <w:pStyle w:val="a4"/>
              <w:spacing w:line="300" w:lineRule="atLeast"/>
              <w:rPr>
                <w:rFonts w:asciiTheme="minorHAnsi" w:eastAsiaTheme="minorEastAsia" w:hAnsiTheme="minorHAnsi" w:hint="eastAsia"/>
              </w:rPr>
            </w:pPr>
          </w:p>
          <w:p w:rsidR="00FA40C0" w:rsidRPr="001F3E84" w:rsidRDefault="00FA40C0" w:rsidP="00D630A2">
            <w:pPr>
              <w:pStyle w:val="a4"/>
              <w:spacing w:line="300" w:lineRule="atLeast"/>
              <w:rPr>
                <w:rFonts w:asciiTheme="minorHAnsi" w:eastAsiaTheme="minorEastAsia" w:hAnsiTheme="minorHAnsi"/>
              </w:rPr>
            </w:pPr>
            <w:r w:rsidRPr="001F3E84">
              <w:rPr>
                <w:rFonts w:asciiTheme="minorHAnsi" w:eastAsiaTheme="minorEastAsia" w:hAnsiTheme="minorHAnsi" w:hint="eastAsia"/>
              </w:rPr>
              <w:t>試験液：pH1.2</w:t>
            </w:r>
            <w:r w:rsidR="00D630A2" w:rsidRPr="001F3E84">
              <w:rPr>
                <w:rFonts w:asciiTheme="minorHAnsi" w:eastAsiaTheme="minorEastAsia" w:hAnsiTheme="minorHAnsi" w:hint="eastAsia"/>
              </w:rPr>
              <w:t>、</w:t>
            </w:r>
            <w:r w:rsidRPr="001F3E84">
              <w:rPr>
                <w:rFonts w:asciiTheme="minorHAnsi" w:eastAsiaTheme="minorEastAsia" w:hAnsiTheme="minorHAnsi" w:hint="eastAsia"/>
              </w:rPr>
              <w:t>6.0</w:t>
            </w:r>
            <w:r w:rsidR="00D630A2" w:rsidRPr="001F3E84">
              <w:rPr>
                <w:rFonts w:asciiTheme="minorHAnsi" w:eastAsiaTheme="minorEastAsia" w:hAnsiTheme="minorHAnsi" w:hint="eastAsia"/>
              </w:rPr>
              <w:t>、</w:t>
            </w:r>
            <w:r w:rsidRPr="001F3E84">
              <w:rPr>
                <w:rFonts w:asciiTheme="minorHAnsi" w:eastAsiaTheme="minorEastAsia" w:hAnsiTheme="minorHAnsi" w:hint="eastAsia"/>
              </w:rPr>
              <w:t>6.8で実施。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456B" w:rsidRDefault="00FA40C0">
            <w:pPr>
              <w:pStyle w:val="a4"/>
              <w:spacing w:line="300" w:lineRule="atLeast"/>
              <w:rPr>
                <w:rFonts w:asciiTheme="minorHAnsi" w:eastAsiaTheme="minorEastAsia" w:hAnsiTheme="minorHAnsi" w:hint="eastAsia"/>
              </w:rPr>
            </w:pPr>
            <w:r w:rsidRPr="001F3E84">
              <w:rPr>
                <w:rFonts w:asciiTheme="minorHAnsi" w:eastAsiaTheme="minorEastAsia" w:hAnsiTheme="minorHAnsi" w:hint="eastAsia"/>
              </w:rPr>
              <w:t>血中濃度比較試験</w:t>
            </w:r>
          </w:p>
          <w:p w:rsidR="00FA40C0" w:rsidRPr="001F3E84" w:rsidRDefault="00FA40C0" w:rsidP="00E0456B">
            <w:pPr>
              <w:pStyle w:val="a4"/>
              <w:spacing w:line="300" w:lineRule="atLeast"/>
              <w:jc w:val="right"/>
              <w:rPr>
                <w:rFonts w:asciiTheme="minorHAnsi" w:eastAsiaTheme="minorEastAsia" w:hAnsiTheme="minorHAnsi"/>
              </w:rPr>
            </w:pPr>
            <w:bookmarkStart w:id="3" w:name="_GoBack"/>
            <w:bookmarkEnd w:id="3"/>
            <w:r w:rsidRPr="001F3E84">
              <w:rPr>
                <w:rFonts w:asciiTheme="minorHAnsi" w:eastAsiaTheme="minorEastAsia" w:hAnsiTheme="minorHAnsi" w:hint="eastAsia"/>
              </w:rPr>
              <w:t>（</w:t>
            </w:r>
            <w:r w:rsidR="000855D9" w:rsidRPr="001F3E84">
              <w:rPr>
                <w:rFonts w:asciiTheme="minorHAnsi" w:eastAsiaTheme="minorEastAsia" w:hAnsiTheme="minorHAnsi"/>
              </w:rPr>
              <w:t>mean</w:t>
            </w:r>
            <w:r w:rsidR="000855D9" w:rsidRPr="001F3E84">
              <w:rPr>
                <w:rFonts w:asciiTheme="minorHAnsi" w:eastAsiaTheme="minorEastAsia" w:hAnsiTheme="minorHAnsi" w:hint="eastAsia"/>
              </w:rPr>
              <w:t>±</w:t>
            </w:r>
            <w:r w:rsidR="000855D9" w:rsidRPr="001F3E84">
              <w:rPr>
                <w:rFonts w:asciiTheme="minorHAnsi" w:eastAsiaTheme="minorEastAsia" w:hAnsiTheme="minorHAnsi"/>
              </w:rPr>
              <w:t>S.D.</w:t>
            </w:r>
            <w:r w:rsidR="000855D9" w:rsidRPr="001F3E84">
              <w:rPr>
                <w:rFonts w:asciiTheme="minorHAnsi" w:eastAsiaTheme="minorEastAsia" w:hAnsiTheme="minorHAnsi" w:hint="eastAsia"/>
              </w:rPr>
              <w:t>、</w:t>
            </w:r>
            <w:r w:rsidR="000855D9" w:rsidRPr="001F3E84">
              <w:rPr>
                <w:rFonts w:asciiTheme="minorHAnsi" w:eastAsiaTheme="minorEastAsia" w:hAnsiTheme="minorHAnsi"/>
              </w:rPr>
              <w:t>n=30</w:t>
            </w:r>
            <w:r w:rsidRPr="001F3E84">
              <w:rPr>
                <w:rFonts w:asciiTheme="minorHAnsi" w:eastAsiaTheme="minorEastAsia" w:hAnsiTheme="minorHAnsi" w:hint="eastAsia"/>
              </w:rPr>
              <w:t>）</w:t>
            </w:r>
          </w:p>
          <w:p w:rsidR="00FA40C0" w:rsidRPr="001F3E84" w:rsidRDefault="00E0456B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11685" w:dyaOrig="5820">
                <v:shape id="_x0000_i1048" type="#_x0000_t75" style="width:201.75pt;height:100.5pt" o:ole="">
                  <v:imagedata r:id="rId12" o:title="" grayscale="t"/>
                </v:shape>
                <o:OLEObject Type="Embed" ProgID="PBrush" ShapeID="_x0000_i1048" DrawAspect="Content" ObjectID="_1630920486" r:id="rId13"/>
              </w:object>
            </w:r>
          </w:p>
          <w:p w:rsidR="00E0456B" w:rsidRDefault="00E0456B" w:rsidP="002A4937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  <w:p w:rsidR="00FA40C0" w:rsidRPr="001F3E84" w:rsidRDefault="00FA40C0" w:rsidP="002A493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クロスオーバー法により各</w:t>
            </w:r>
            <w:r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錠を</w:t>
            </w:r>
            <w:r w:rsidR="002A4937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絶食時に</w:t>
            </w: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単回経口投与し、</w:t>
            </w:r>
            <w:r w:rsidR="002A4937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両剤の</w:t>
            </w:r>
            <w:r w:rsidR="002A4937" w:rsidRPr="001F3E84">
              <w:rPr>
                <w:rFonts w:asciiTheme="minorHAnsi" w:eastAsiaTheme="minorEastAsia" w:hAnsiTheme="minorHAnsi"/>
                <w:sz w:val="18"/>
                <w:szCs w:val="18"/>
              </w:rPr>
              <w:t>生物学的</w:t>
            </w: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同等</w:t>
            </w:r>
            <w:r w:rsidR="002A4937" w:rsidRPr="001F3E84">
              <w:rPr>
                <w:rFonts w:asciiTheme="minorHAnsi" w:eastAsiaTheme="minorEastAsia" w:hAnsiTheme="minorHAnsi" w:hint="eastAsia"/>
                <w:sz w:val="18"/>
                <w:szCs w:val="18"/>
              </w:rPr>
              <w:t>性が確認</w:t>
            </w:r>
            <w:r w:rsidRPr="001F3E84">
              <w:rPr>
                <w:rFonts w:asciiTheme="minorHAnsi" w:eastAsiaTheme="minorEastAsia" w:hAnsiTheme="minorHAnsi"/>
                <w:sz w:val="18"/>
                <w:szCs w:val="18"/>
              </w:rPr>
              <w:t>された。</w:t>
            </w:r>
          </w:p>
        </w:tc>
      </w:tr>
      <w:tr w:rsidR="00FA40C0" w:rsidRPr="00697E7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0C0" w:rsidRPr="001F3E84" w:rsidRDefault="00FA40C0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1F3E84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0C0" w:rsidRPr="001F3E84" w:rsidRDefault="00FA40C0" w:rsidP="00E0456B">
            <w:pPr>
              <w:adjustRightInd w:val="0"/>
              <w:spacing w:line="300" w:lineRule="atLeast"/>
              <w:jc w:val="lef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FA40C0" w:rsidRPr="00697E71" w:rsidTr="00903FBF">
        <w:trPr>
          <w:trHeight w:val="21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0C0" w:rsidRPr="001F3E84" w:rsidRDefault="00FA40C0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1F3E84">
              <w:rPr>
                <w:rFonts w:asciiTheme="majorHAnsi" w:eastAsiaTheme="majorEastAsia" w:hAnsiTheme="majorHAnsi"/>
                <w:sz w:val="20"/>
                <w:szCs w:val="20"/>
              </w:rPr>
              <w:t>担当者、連絡先</w:t>
            </w: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0C0" w:rsidRPr="001F3E84" w:rsidRDefault="00FA40C0" w:rsidP="00331F9C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</w:tbl>
    <w:p w:rsidR="00A33DAF" w:rsidRDefault="00A33DAF" w:rsidP="00D561A9">
      <w:pPr>
        <w:rPr>
          <w:rFonts w:hint="eastAsia"/>
        </w:rPr>
      </w:pPr>
    </w:p>
    <w:sectPr w:rsidR="00A33DAF" w:rsidSect="00EF3B8C">
      <w:headerReference w:type="default" r:id="rId14"/>
      <w:pgSz w:w="11906" w:h="16838" w:code="9"/>
      <w:pgMar w:top="540" w:right="851" w:bottom="340" w:left="1134" w:header="34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6F" w:rsidRDefault="00AB676F">
      <w:r>
        <w:separator/>
      </w:r>
    </w:p>
  </w:endnote>
  <w:endnote w:type="continuationSeparator" w:id="0">
    <w:p w:rsidR="00AB676F" w:rsidRDefault="00AB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6F" w:rsidRDefault="00AB676F">
      <w:r>
        <w:separator/>
      </w:r>
    </w:p>
  </w:footnote>
  <w:footnote w:type="continuationSeparator" w:id="0">
    <w:p w:rsidR="00AB676F" w:rsidRDefault="00AB6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AF" w:rsidRPr="001F3E84" w:rsidRDefault="000044A3" w:rsidP="0059676E">
    <w:pPr>
      <w:pStyle w:val="a3"/>
      <w:jc w:val="right"/>
      <w:rPr>
        <w:rFonts w:asciiTheme="majorHAnsi" w:eastAsiaTheme="majorEastAsia" w:hAnsiTheme="majorHAnsi"/>
        <w:sz w:val="18"/>
        <w:szCs w:val="18"/>
      </w:rPr>
    </w:pPr>
    <w:r w:rsidRPr="001F3E84">
      <w:rPr>
        <w:rFonts w:asciiTheme="majorHAnsi" w:eastAsiaTheme="majorEastAsia" w:hAnsiTheme="majorHAnsi"/>
        <w:sz w:val="18"/>
        <w:szCs w:val="18"/>
      </w:rPr>
      <w:t>201</w:t>
    </w:r>
    <w:r w:rsidR="006C1FDE" w:rsidRPr="001F3E84">
      <w:rPr>
        <w:rFonts w:asciiTheme="majorHAnsi" w:eastAsiaTheme="majorEastAsia" w:hAnsiTheme="majorHAnsi"/>
        <w:sz w:val="18"/>
        <w:szCs w:val="18"/>
      </w:rPr>
      <w:t>9</w:t>
    </w:r>
    <w:r w:rsidRPr="001F3E84">
      <w:rPr>
        <w:rFonts w:asciiTheme="majorHAnsi" w:eastAsiaTheme="majorEastAsia" w:hAnsiTheme="majorHAnsi"/>
        <w:sz w:val="18"/>
        <w:szCs w:val="18"/>
      </w:rPr>
      <w:t>年</w:t>
    </w:r>
    <w:r w:rsidR="006C1FDE" w:rsidRPr="001F3E84">
      <w:rPr>
        <w:rFonts w:asciiTheme="majorHAnsi" w:eastAsiaTheme="majorEastAsia" w:hAnsiTheme="majorHAnsi"/>
        <w:sz w:val="18"/>
        <w:szCs w:val="18"/>
      </w:rPr>
      <w:t>9</w:t>
    </w:r>
    <w:r w:rsidRPr="001F3E84">
      <w:rPr>
        <w:rFonts w:asciiTheme="majorHAnsi" w:eastAsiaTheme="majorEastAsia" w:hAnsiTheme="majorHAnsi"/>
        <w:sz w:val="18"/>
        <w:szCs w:val="18"/>
      </w:rPr>
      <w:t>月改訂（新薬価対応）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558F5"/>
    <w:multiLevelType w:val="hybridMultilevel"/>
    <w:tmpl w:val="55D41ACA"/>
    <w:lvl w:ilvl="0" w:tplc="F04E74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27"/>
    <w:rsid w:val="000044A3"/>
    <w:rsid w:val="00005FA4"/>
    <w:rsid w:val="00012DE3"/>
    <w:rsid w:val="00022778"/>
    <w:rsid w:val="00034AC4"/>
    <w:rsid w:val="0004300C"/>
    <w:rsid w:val="00057443"/>
    <w:rsid w:val="000637A3"/>
    <w:rsid w:val="00063FDD"/>
    <w:rsid w:val="0006496A"/>
    <w:rsid w:val="000749E1"/>
    <w:rsid w:val="00076E00"/>
    <w:rsid w:val="000855D9"/>
    <w:rsid w:val="000F0736"/>
    <w:rsid w:val="000F66B3"/>
    <w:rsid w:val="00120B62"/>
    <w:rsid w:val="00121776"/>
    <w:rsid w:val="00134DE1"/>
    <w:rsid w:val="001372E5"/>
    <w:rsid w:val="00161637"/>
    <w:rsid w:val="00164B35"/>
    <w:rsid w:val="00192E65"/>
    <w:rsid w:val="001A0916"/>
    <w:rsid w:val="001C19F5"/>
    <w:rsid w:val="001D4676"/>
    <w:rsid w:val="001F3E84"/>
    <w:rsid w:val="002378FA"/>
    <w:rsid w:val="0024226D"/>
    <w:rsid w:val="00246FB1"/>
    <w:rsid w:val="00256169"/>
    <w:rsid w:val="00267D6A"/>
    <w:rsid w:val="00282F06"/>
    <w:rsid w:val="0028356B"/>
    <w:rsid w:val="00283B89"/>
    <w:rsid w:val="00284288"/>
    <w:rsid w:val="0029417D"/>
    <w:rsid w:val="00294C00"/>
    <w:rsid w:val="002A2F8D"/>
    <w:rsid w:val="002A4937"/>
    <w:rsid w:val="002B500A"/>
    <w:rsid w:val="002C630F"/>
    <w:rsid w:val="002D4576"/>
    <w:rsid w:val="002E5C86"/>
    <w:rsid w:val="002E6A57"/>
    <w:rsid w:val="002E6AD8"/>
    <w:rsid w:val="002F4C81"/>
    <w:rsid w:val="00305875"/>
    <w:rsid w:val="0030736E"/>
    <w:rsid w:val="0031003E"/>
    <w:rsid w:val="00314BAD"/>
    <w:rsid w:val="00324A6D"/>
    <w:rsid w:val="00331F9C"/>
    <w:rsid w:val="0033313C"/>
    <w:rsid w:val="00362F28"/>
    <w:rsid w:val="00366C22"/>
    <w:rsid w:val="00392A73"/>
    <w:rsid w:val="003C7D85"/>
    <w:rsid w:val="003D5370"/>
    <w:rsid w:val="003E0A3D"/>
    <w:rsid w:val="003E1156"/>
    <w:rsid w:val="003E34EF"/>
    <w:rsid w:val="004262EE"/>
    <w:rsid w:val="00434200"/>
    <w:rsid w:val="004618A9"/>
    <w:rsid w:val="00473EB8"/>
    <w:rsid w:val="004C302B"/>
    <w:rsid w:val="004F0DCE"/>
    <w:rsid w:val="00527D32"/>
    <w:rsid w:val="00546F63"/>
    <w:rsid w:val="00554F0E"/>
    <w:rsid w:val="00556810"/>
    <w:rsid w:val="0056438B"/>
    <w:rsid w:val="00583359"/>
    <w:rsid w:val="00590164"/>
    <w:rsid w:val="00595FEE"/>
    <w:rsid w:val="0059676E"/>
    <w:rsid w:val="005C6313"/>
    <w:rsid w:val="005F39E6"/>
    <w:rsid w:val="006064C5"/>
    <w:rsid w:val="0060779C"/>
    <w:rsid w:val="00611F98"/>
    <w:rsid w:val="006173EF"/>
    <w:rsid w:val="00633554"/>
    <w:rsid w:val="006544EF"/>
    <w:rsid w:val="00654CAA"/>
    <w:rsid w:val="00693657"/>
    <w:rsid w:val="00697E71"/>
    <w:rsid w:val="006C1FDE"/>
    <w:rsid w:val="006C21A2"/>
    <w:rsid w:val="006C2327"/>
    <w:rsid w:val="006E119A"/>
    <w:rsid w:val="006F324B"/>
    <w:rsid w:val="006F6E7B"/>
    <w:rsid w:val="00715CCA"/>
    <w:rsid w:val="00733AE0"/>
    <w:rsid w:val="007472F0"/>
    <w:rsid w:val="0075163F"/>
    <w:rsid w:val="00760DD5"/>
    <w:rsid w:val="007622FA"/>
    <w:rsid w:val="00777C1D"/>
    <w:rsid w:val="00781D3B"/>
    <w:rsid w:val="007D19DB"/>
    <w:rsid w:val="007E01F6"/>
    <w:rsid w:val="007E3638"/>
    <w:rsid w:val="007F2792"/>
    <w:rsid w:val="008121CD"/>
    <w:rsid w:val="00812B15"/>
    <w:rsid w:val="00861F6C"/>
    <w:rsid w:val="00863167"/>
    <w:rsid w:val="008677EF"/>
    <w:rsid w:val="00872D66"/>
    <w:rsid w:val="008954ED"/>
    <w:rsid w:val="008B101D"/>
    <w:rsid w:val="008B3DE5"/>
    <w:rsid w:val="008B51A6"/>
    <w:rsid w:val="008D48BF"/>
    <w:rsid w:val="00901C73"/>
    <w:rsid w:val="00903FBF"/>
    <w:rsid w:val="009126CE"/>
    <w:rsid w:val="00923EB6"/>
    <w:rsid w:val="009463CE"/>
    <w:rsid w:val="00946FE9"/>
    <w:rsid w:val="0094701A"/>
    <w:rsid w:val="00965F25"/>
    <w:rsid w:val="009731EE"/>
    <w:rsid w:val="00987632"/>
    <w:rsid w:val="009B17CB"/>
    <w:rsid w:val="009D277F"/>
    <w:rsid w:val="009D541B"/>
    <w:rsid w:val="009E240D"/>
    <w:rsid w:val="009E313E"/>
    <w:rsid w:val="00A166C7"/>
    <w:rsid w:val="00A33DAF"/>
    <w:rsid w:val="00A33E03"/>
    <w:rsid w:val="00A46CEC"/>
    <w:rsid w:val="00A73DB1"/>
    <w:rsid w:val="00A84F73"/>
    <w:rsid w:val="00A91B5C"/>
    <w:rsid w:val="00A9762D"/>
    <w:rsid w:val="00A97A6A"/>
    <w:rsid w:val="00AB676F"/>
    <w:rsid w:val="00AC1958"/>
    <w:rsid w:val="00AE0495"/>
    <w:rsid w:val="00AE6E94"/>
    <w:rsid w:val="00AF74DC"/>
    <w:rsid w:val="00B03AEB"/>
    <w:rsid w:val="00B15808"/>
    <w:rsid w:val="00B174B1"/>
    <w:rsid w:val="00B35756"/>
    <w:rsid w:val="00B74744"/>
    <w:rsid w:val="00B752F5"/>
    <w:rsid w:val="00B81209"/>
    <w:rsid w:val="00BA1261"/>
    <w:rsid w:val="00BD6331"/>
    <w:rsid w:val="00C24CFC"/>
    <w:rsid w:val="00C3399C"/>
    <w:rsid w:val="00C408EE"/>
    <w:rsid w:val="00C41DD5"/>
    <w:rsid w:val="00C72D9F"/>
    <w:rsid w:val="00C97B19"/>
    <w:rsid w:val="00CA3486"/>
    <w:rsid w:val="00CB0ABC"/>
    <w:rsid w:val="00CB4AAF"/>
    <w:rsid w:val="00CC3F2C"/>
    <w:rsid w:val="00CD77C7"/>
    <w:rsid w:val="00D11D13"/>
    <w:rsid w:val="00D24010"/>
    <w:rsid w:val="00D331B5"/>
    <w:rsid w:val="00D506EB"/>
    <w:rsid w:val="00D561A9"/>
    <w:rsid w:val="00D630A2"/>
    <w:rsid w:val="00D83ED6"/>
    <w:rsid w:val="00D94903"/>
    <w:rsid w:val="00E00714"/>
    <w:rsid w:val="00E0456B"/>
    <w:rsid w:val="00E1206B"/>
    <w:rsid w:val="00E25EDB"/>
    <w:rsid w:val="00E33F1A"/>
    <w:rsid w:val="00E76731"/>
    <w:rsid w:val="00E80F7E"/>
    <w:rsid w:val="00E82F39"/>
    <w:rsid w:val="00E928CB"/>
    <w:rsid w:val="00EB7459"/>
    <w:rsid w:val="00EC7279"/>
    <w:rsid w:val="00ED65EA"/>
    <w:rsid w:val="00EE4CD0"/>
    <w:rsid w:val="00EE4D5A"/>
    <w:rsid w:val="00EF3B8C"/>
    <w:rsid w:val="00EF5DDD"/>
    <w:rsid w:val="00F1109C"/>
    <w:rsid w:val="00F12DC6"/>
    <w:rsid w:val="00F22D5F"/>
    <w:rsid w:val="00F240CB"/>
    <w:rsid w:val="00F47A8B"/>
    <w:rsid w:val="00F51977"/>
    <w:rsid w:val="00F64E7C"/>
    <w:rsid w:val="00F75CFD"/>
    <w:rsid w:val="00F768C4"/>
    <w:rsid w:val="00FA2326"/>
    <w:rsid w:val="00FA289A"/>
    <w:rsid w:val="00FA301B"/>
    <w:rsid w:val="00FA40C0"/>
    <w:rsid w:val="00FC193F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2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14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90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2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32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62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17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</Words>
  <Characters>341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2019-09-25T03:14:00Z</dcterms:created>
  <dcterms:modified xsi:type="dcterms:W3CDTF">2019-09-25T03:40:00Z</dcterms:modified>
</cp:coreProperties>
</file>