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5B29AF" w:rsidRDefault="005F3621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5B29AF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022CB6" w:rsidRPr="005B29AF">
        <w:rPr>
          <w:rFonts w:asciiTheme="majorHAnsi" w:eastAsiaTheme="majorEastAsia" w:hAnsiTheme="majorHAnsi"/>
          <w:b/>
          <w:sz w:val="28"/>
          <w:szCs w:val="28"/>
        </w:rPr>
        <w:t>標準品</w:t>
      </w:r>
      <w:r w:rsidRPr="005B29AF">
        <w:rPr>
          <w:rFonts w:asciiTheme="majorHAnsi" w:eastAsiaTheme="majorEastAsia" w:hAnsiTheme="majorHAnsi"/>
          <w:b/>
          <w:sz w:val="28"/>
          <w:szCs w:val="28"/>
        </w:rPr>
        <w:t>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163"/>
        <w:gridCol w:w="105"/>
        <w:gridCol w:w="851"/>
        <w:gridCol w:w="2410"/>
        <w:gridCol w:w="968"/>
      </w:tblGrid>
      <w:tr w:rsidR="005F3621" w:rsidRPr="005B29AF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5B29A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5B29A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5B29AF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5B29AF" w:rsidRDefault="00022CB6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5B29AF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標準品</w:t>
            </w:r>
          </w:p>
        </w:tc>
      </w:tr>
      <w:tr w:rsidR="005F3621" w:rsidRPr="005B29AF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B29A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5B29AF" w:rsidRDefault="00B4235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5B29A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ミルナシプラン塩酸塩</w:t>
            </w:r>
            <w:r w:rsidR="005F3621" w:rsidRPr="005B29A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C46520" w:rsidRPr="005B29A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2</w:t>
            </w:r>
            <w:r w:rsidR="00FE01C6" w:rsidRPr="005B29A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5</w:t>
            </w:r>
            <w:r w:rsidR="005F3621" w:rsidRPr="005B29A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  <w:r w:rsidR="0082129F" w:rsidRPr="005B29A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「NP」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B29AF" w:rsidRDefault="00022CB6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5B29AF">
              <w:rPr>
                <w:rFonts w:asciiTheme="majorHAnsi" w:eastAsiaTheme="majorEastAsia" w:hAnsiTheme="majorHAnsi"/>
                <w:b/>
                <w:sz w:val="22"/>
                <w:szCs w:val="22"/>
              </w:rPr>
              <w:t>トレドミン錠25mg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B29A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5B29AF" w:rsidRDefault="00E66DA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5B29AF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5B29AF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B29AF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5B29AF" w:rsidRDefault="005F3621" w:rsidP="005B29A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B4235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ミルナシプラン塩酸塩</w:t>
            </w: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」</w:t>
            </w:r>
            <w:r w:rsidR="00C46520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2</w:t>
            </w:r>
            <w:r w:rsidR="004A22F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5</w:t>
            </w:r>
            <w:r w:rsidR="001112E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C6492B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1112E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B29A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5B29AF" w:rsidRDefault="00B4235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セロトニン・ノルアドレナリン再取り込み阻害</w:t>
            </w:r>
            <w:r w:rsidR="00A01ED8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剤</w:t>
            </w:r>
            <w:r w:rsid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SNRI</w:t>
            </w:r>
            <w:r w:rsid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</w:tc>
      </w:tr>
      <w:tr w:rsidR="00DD0B74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0B74" w:rsidRPr="005B29AF" w:rsidRDefault="00A557D4" w:rsidP="00CE3208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12.0</w:t>
            </w:r>
            <w:r w:rsidR="00230CDB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DD0B74" w:rsidRPr="005B29AF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B74" w:rsidRPr="005B29AF" w:rsidRDefault="00E80A02" w:rsidP="00A557D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2</w:t>
            </w:r>
            <w:r w:rsidR="00A557D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5.6</w:t>
            </w:r>
            <w:r w:rsidR="00230CDB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DD0B74" w:rsidRPr="005B29AF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DD0B74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E80A02" w:rsidP="00A557D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A557D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3.6</w:t>
            </w:r>
            <w:r w:rsidR="00230CDB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DD0B7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5B29AF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9AF" w:rsidRPr="005B29AF" w:rsidRDefault="005B29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9AF" w:rsidRPr="005B29AF" w:rsidRDefault="005B29AF" w:rsidP="0095322E">
            <w:pPr>
              <w:rPr>
                <w:rFonts w:asciiTheme="minorHAnsi" w:eastAsiaTheme="minorEastAsia" w:hAnsiTheme="minorHAnsi"/>
                <w:sz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</w:rPr>
              <w:t>うつ病・うつ状態</w:t>
            </w:r>
          </w:p>
          <w:p w:rsidR="005B29AF" w:rsidRPr="005B29AF" w:rsidRDefault="005B29AF" w:rsidP="0095322E">
            <w:pPr>
              <w:jc w:val="right"/>
              <w:rPr>
                <w:rFonts w:asciiTheme="minorHAnsi" w:eastAsiaTheme="minorEastAsia" w:hAnsiTheme="minorHAnsi"/>
                <w:sz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【標準品と同じ】</w:t>
            </w:r>
            <w:bookmarkStart w:id="0" w:name="132"/>
            <w:bookmarkEnd w:id="0"/>
          </w:p>
        </w:tc>
      </w:tr>
      <w:tr w:rsidR="005B29AF">
        <w:trPr>
          <w:trHeight w:val="105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9AF" w:rsidRPr="005B29AF" w:rsidRDefault="005B29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9AF" w:rsidRPr="005B29AF" w:rsidRDefault="005B29AF" w:rsidP="0095322E">
            <w:pPr>
              <w:widowControl/>
              <w:jc w:val="left"/>
              <w:rPr>
                <w:rFonts w:asciiTheme="minorHAnsi" w:eastAsiaTheme="minorEastAsia" w:hAnsiTheme="minorHAnsi"/>
                <w:spacing w:val="-4"/>
                <w:sz w:val="18"/>
              </w:rPr>
            </w:pP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通常、成人には、ミルナシプラン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塩酸塩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として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日25mgを初期用量とし、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日100mgまで漸増し、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日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2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～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3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回に分けて食後に経口投与する。なお、年齢、症状により適宜増減する。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br/>
              <w:t>ただし、高齢者には、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日25mgを初期用量とし、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日60mgまで漸増し、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日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2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～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3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回に分けて食後に経口投与する。</w:t>
            </w:r>
          </w:p>
          <w:p w:rsidR="005B29AF" w:rsidRPr="005B29AF" w:rsidRDefault="005B29AF" w:rsidP="0095322E">
            <w:pPr>
              <w:widowControl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】</w:t>
            </w:r>
          </w:p>
        </w:tc>
      </w:tr>
      <w:tr w:rsidR="005B29AF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9AF" w:rsidRPr="005B29AF" w:rsidRDefault="005B29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F" w:rsidRPr="005B29AF" w:rsidRDefault="005B29AF" w:rsidP="005B29AF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D-マンニトール、無水リン酸水素カルシウム、ヒドロキシプロピルスターチ、カルメロースカルシウム、ヒプロメロース、軽質無水ケイ酸、タルク、ステアリン酸マグネシウム、マクロゴール、酸化チタン、カルナウバロウ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9AF" w:rsidRPr="005B29AF" w:rsidRDefault="005B29AF" w:rsidP="005B29AF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無水リン酸水素カルシウム、カルメロースカルシウム、ヒプロメロース、軽質無水ケイ酸、ステアリン酸マグネシウム、エチルセルロース、セタノール、ラウリル硫酸ナトリウム、クエン酸トリエチル、酸化チタン、タルク、カルナウバロウ</w:t>
            </w:r>
          </w:p>
        </w:tc>
      </w:tr>
      <w:tr w:rsidR="005B29AF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9AF" w:rsidRPr="005B29AF" w:rsidRDefault="005B29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5B29AF" w:rsidRPr="005B29AF" w:rsidRDefault="005B29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B29AF" w:rsidRPr="005B29AF" w:rsidRDefault="005B29AF" w:rsidP="0095322E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5B29AF" w:rsidRPr="005B29AF" w:rsidRDefault="005B29AF" w:rsidP="0095322E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室温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保存　3年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29AF" w:rsidRPr="005B29AF" w:rsidRDefault="005B29AF" w:rsidP="0095322E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5B29AF" w:rsidRPr="005B29AF" w:rsidRDefault="005B29AF" w:rsidP="0095322E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室温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保存　3年</w:t>
            </w:r>
          </w:p>
        </w:tc>
      </w:tr>
      <w:tr w:rsidR="00DD0B74" w:rsidTr="005B29AF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4" w:rsidRPr="005B29AF" w:rsidRDefault="00DD0B74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4" w:rsidRPr="005B29AF" w:rsidRDefault="00DD0B74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外　観(重量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直径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4" w:rsidRPr="005B29AF" w:rsidRDefault="00DD0B74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DD0B74" w:rsidTr="005B29AF">
        <w:trPr>
          <w:cantSplit/>
          <w:trHeight w:val="3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4" w:rsidRPr="005B29AF" w:rsidRDefault="00DD0B74" w:rsidP="00E0066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ミルナシプラン</w:t>
            </w:r>
          </w:p>
          <w:p w:rsidR="00DD0B74" w:rsidRPr="005B29AF" w:rsidRDefault="00DD0B74" w:rsidP="005B29A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塩酸塩</w:t>
            </w:r>
            <w:r w:rsidRPr="005B29AF">
              <w:rPr>
                <w:rFonts w:asciiTheme="minorHAnsi" w:eastAsiaTheme="minorEastAsia" w:hAnsiTheme="minorHAnsi"/>
                <w:bCs/>
                <w:sz w:val="18"/>
                <w:szCs w:val="18"/>
              </w:rPr>
              <w:t>錠</w:t>
            </w:r>
            <w:r w:rsidRPr="005B29A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2</w:t>
            </w:r>
            <w:r w:rsidRPr="005B29AF">
              <w:rPr>
                <w:rFonts w:asciiTheme="minorHAnsi" w:eastAsiaTheme="minorEastAsia" w:hAnsiTheme="minorHAnsi"/>
                <w:bCs/>
                <w:sz w:val="18"/>
                <w:szCs w:val="18"/>
              </w:rPr>
              <w:t>5</w:t>
            </w:r>
            <w:r w:rsidRPr="005B29A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mg「NP」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4" w:rsidRPr="005B29AF" w:rsidRDefault="00213121" w:rsidP="00F0205A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noProof/>
              </w:rPr>
              <w:drawing>
                <wp:inline distT="0" distB="0" distL="0" distR="0" wp14:anchorId="61CFE265" wp14:editId="7F2D1E52">
                  <wp:extent cx="1354455" cy="387985"/>
                  <wp:effectExtent l="0" t="0" r="0" b="0"/>
                  <wp:docPr id="1" name="図 1" descr="72_MILNACIPRAN_25mg_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2_MILNACIPRAN_25mg_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925" b="28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B74" w:rsidRPr="005B29AF" w:rsidRDefault="00854AEF" w:rsidP="005B29A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cs="ＭＳ Ｐゴシック"/>
                <w:kern w:val="0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124</w:t>
            </w:r>
            <w:r w:rsidR="00DD0B74" w:rsidRPr="005B29AF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="005B29AF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="00DD0B7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6.6</w:t>
            </w:r>
            <w:r w:rsidR="00DD0B74" w:rsidRPr="005B29A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5B29AF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="00DD0B7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DD0B74" w:rsidRPr="005B29AF">
              <w:rPr>
                <w:rFonts w:asciiTheme="minorHAnsi" w:eastAsiaTheme="minorEastAsia" w:hAnsiTheme="minorHAnsi"/>
                <w:sz w:val="18"/>
                <w:szCs w:val="18"/>
              </w:rPr>
              <w:t>.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7</w:t>
            </w:r>
            <w:r w:rsidR="00DD0B74" w:rsidRPr="005B29A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F" w:rsidRDefault="00DD0B7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白</w:t>
            </w: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色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</w:p>
          <w:p w:rsidR="00DD0B74" w:rsidRPr="005B29AF" w:rsidRDefault="00DD0B74" w:rsidP="005B29A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フィルムコーティング錠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NP-013</w:t>
            </w:r>
          </w:p>
        </w:tc>
      </w:tr>
      <w:tr w:rsidR="00DD0B74" w:rsidTr="005B29AF">
        <w:trPr>
          <w:cantSplit/>
          <w:trHeight w:val="296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4" w:rsidRPr="005B29AF" w:rsidRDefault="00022CB6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bCs/>
                <w:sz w:val="18"/>
                <w:szCs w:val="18"/>
              </w:rPr>
              <w:t>標準品</w:t>
            </w:r>
            <w:r w:rsidR="00DD0B74" w:rsidRPr="005B29A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25mg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4" w:rsidRPr="005B29AF" w:rsidRDefault="00DD0B74" w:rsidP="005B29A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105mg</w:t>
            </w:r>
            <w:r w:rsidR="005B29AF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6.1</w:t>
            </w: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5B29AF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2.7</w:t>
            </w: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F" w:rsidRDefault="00DD0B74" w:rsidP="00CE3208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白</w:t>
            </w: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色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</w:p>
          <w:p w:rsidR="00DD0B74" w:rsidRPr="005B29AF" w:rsidRDefault="00854AEF" w:rsidP="005B29A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</w:t>
            </w:r>
            <w:r w:rsid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コーティング</w:t>
            </w:r>
            <w:r w:rsidR="00DD0B7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DD0B74">
        <w:trPr>
          <w:trHeight w:val="30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DD0B74" w:rsidRPr="005B29AF" w:rsidRDefault="00DD0B7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DD0B74" w:rsidRPr="005B29AF" w:rsidRDefault="00DD0B7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DD0B74" w:rsidRPr="005B29AF" w:rsidRDefault="00DD0B74" w:rsidP="007D4E0B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5B29AF">
              <w:rPr>
                <w:rFonts w:asciiTheme="minorHAnsi" w:eastAsiaTheme="minorEastAsia" w:hAnsiTheme="minorHAnsi" w:hint="eastAsia"/>
              </w:rPr>
              <w:t>溶出試験</w:t>
            </w:r>
          </w:p>
          <w:p w:rsidR="00A557D4" w:rsidRPr="005B29AF" w:rsidRDefault="00A557D4" w:rsidP="007D4E0B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5B29AF">
              <w:rPr>
                <w:rFonts w:asciiTheme="minorHAnsi" w:eastAsiaTheme="minorEastAsia" w:hAnsiTheme="minorHAnsi" w:hint="eastAsia"/>
              </w:rPr>
              <w:t>試験液：</w:t>
            </w:r>
            <w:r w:rsidR="005B29AF">
              <w:rPr>
                <w:rFonts w:asciiTheme="minorHAnsi" w:eastAsiaTheme="minorEastAsia" w:hAnsiTheme="minorHAnsi" w:hint="eastAsia"/>
              </w:rPr>
              <w:t>pH6.8（50rpm）</w:t>
            </w:r>
            <w:r w:rsidRPr="005B29AF">
              <w:rPr>
                <w:rFonts w:asciiTheme="minorHAnsi" w:eastAsiaTheme="minorEastAsia" w:hAnsiTheme="minorHAnsi" w:hint="eastAsia"/>
              </w:rPr>
              <w:t>における平均溶出率</w:t>
            </w:r>
          </w:p>
          <w:p w:rsidR="00A557D4" w:rsidRPr="005B29AF" w:rsidRDefault="00A557D4" w:rsidP="006C3EF6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5B29AF">
              <w:rPr>
                <w:rFonts w:asciiTheme="minorHAnsi" w:eastAsiaTheme="minorEastAsia" w:hAnsiTheme="minorHAnsi" w:hint="eastAsia"/>
              </w:rPr>
              <w:t>（Mean±S.D.、n=12）</w:t>
            </w:r>
          </w:p>
          <w:p w:rsidR="006A0365" w:rsidRPr="005B29AF" w:rsidRDefault="005B29AF" w:rsidP="00B33AD9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>
              <w:object w:dxaOrig="8490" w:dyaOrig="5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97.25pt;height:120pt" o:ole="">
                  <v:imagedata r:id="rId10" o:title="" grayscale="t"/>
                </v:shape>
                <o:OLEObject Type="Embed" ProgID="PBrush" ShapeID="_x0000_i1032" DrawAspect="Content" ObjectID="_1630831620" r:id="rId11"/>
              </w:object>
            </w:r>
          </w:p>
          <w:p w:rsidR="006A0365" w:rsidRPr="005B29AF" w:rsidRDefault="006A0365" w:rsidP="00B33AD9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試験液：pH1.2、5.0、6.8、水で実施。</w:t>
            </w:r>
          </w:p>
          <w:p w:rsidR="00DD0B74" w:rsidRPr="005B29AF" w:rsidRDefault="00DD0B74" w:rsidP="00B33AD9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DD0B74" w:rsidRPr="005B29AF" w:rsidRDefault="00DD0B74" w:rsidP="007D4E0B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5B29AF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6C3EF6" w:rsidRPr="006C3EF6">
              <w:rPr>
                <w:rFonts w:asciiTheme="minorHAnsi" w:eastAsiaTheme="minorEastAsia" w:hAnsiTheme="minorHAnsi" w:hint="eastAsia"/>
                <w:noProof/>
              </w:rPr>
              <w:t>（Mean±S.D.、n=</w:t>
            </w:r>
            <w:r w:rsidR="006C3EF6">
              <w:rPr>
                <w:rFonts w:asciiTheme="minorHAnsi" w:eastAsiaTheme="minorEastAsia" w:hAnsiTheme="minorHAnsi" w:hint="eastAsia"/>
                <w:noProof/>
              </w:rPr>
              <w:t>16</w:t>
            </w:r>
            <w:bookmarkStart w:id="1" w:name="_GoBack"/>
            <w:bookmarkEnd w:id="1"/>
            <w:r w:rsidR="006C3EF6" w:rsidRPr="006C3EF6">
              <w:rPr>
                <w:rFonts w:asciiTheme="minorHAnsi" w:eastAsiaTheme="minorEastAsia" w:hAnsiTheme="minorHAnsi" w:hint="eastAsia"/>
                <w:noProof/>
              </w:rPr>
              <w:t>）</w:t>
            </w:r>
          </w:p>
          <w:p w:rsidR="00DD0B74" w:rsidRPr="005B29AF" w:rsidRDefault="006C3EF6" w:rsidP="007D4E0B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9810" w:dyaOrig="5100">
                <v:shape id="_x0000_i1034" type="#_x0000_t75" style="width:206.25pt;height:107.25pt" o:ole="">
                  <v:imagedata r:id="rId12" o:title="" grayscale="t"/>
                </v:shape>
                <o:OLEObject Type="Embed" ProgID="PBrush" ShapeID="_x0000_i1034" DrawAspect="Content" ObjectID="_1630831621" r:id="rId13"/>
              </w:object>
            </w:r>
          </w:p>
          <w:p w:rsidR="00DD0B74" w:rsidRPr="005B29AF" w:rsidRDefault="00DD0B74" w:rsidP="007D4E0B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クロスオーバー法により各1錠を単回経口投与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し、</w:t>
            </w:r>
            <w:r w:rsidR="00A557D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両剤の生物学的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同等</w:t>
            </w:r>
            <w:r w:rsidR="00A557D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性が確認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された。</w:t>
            </w:r>
          </w:p>
        </w:tc>
      </w:tr>
      <w:tr w:rsidR="00DD0B74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 w:rsidP="00DD0B74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DD0B74" w:rsidTr="005B29AF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担当者、連絡先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0B74" w:rsidRPr="005B29AF" w:rsidRDefault="00DD0B74" w:rsidP="00DD0B74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</w:tbl>
    <w:p w:rsidR="005F3621" w:rsidRDefault="005F3621" w:rsidP="00DA776B">
      <w:pPr>
        <w:widowControl/>
        <w:jc w:val="left"/>
        <w:rPr>
          <w:rFonts w:hint="eastAsia"/>
          <w:kern w:val="0"/>
        </w:rPr>
      </w:pPr>
    </w:p>
    <w:sectPr w:rsidR="005F3621">
      <w:headerReference w:type="default" r:id="rId14"/>
      <w:pgSz w:w="11906" w:h="16838" w:code="9"/>
      <w:pgMar w:top="680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5F" w:rsidRDefault="00FB085F">
      <w:r>
        <w:separator/>
      </w:r>
    </w:p>
  </w:endnote>
  <w:endnote w:type="continuationSeparator" w:id="0">
    <w:p w:rsidR="00FB085F" w:rsidRDefault="00FB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5F" w:rsidRDefault="00FB085F">
      <w:r>
        <w:separator/>
      </w:r>
    </w:p>
  </w:footnote>
  <w:footnote w:type="continuationSeparator" w:id="0">
    <w:p w:rsidR="00FB085F" w:rsidRDefault="00FB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21" w:rsidRPr="005B29AF" w:rsidRDefault="00230CDB">
    <w:pPr>
      <w:pStyle w:val="a3"/>
      <w:jc w:val="right"/>
      <w:rPr>
        <w:rFonts w:asciiTheme="majorHAnsi" w:eastAsiaTheme="majorEastAsia" w:hAnsiTheme="majorHAnsi"/>
        <w:sz w:val="18"/>
        <w:szCs w:val="18"/>
      </w:rPr>
    </w:pPr>
    <w:r w:rsidRPr="005B29AF">
      <w:rPr>
        <w:rFonts w:asciiTheme="majorHAnsi" w:eastAsiaTheme="majorEastAsia" w:hAnsiTheme="majorHAnsi"/>
        <w:sz w:val="18"/>
        <w:szCs w:val="18"/>
      </w:rPr>
      <w:t>201</w:t>
    </w:r>
    <w:r w:rsidR="00A557D4" w:rsidRPr="005B29AF">
      <w:rPr>
        <w:rFonts w:asciiTheme="majorHAnsi" w:eastAsiaTheme="majorEastAsia" w:hAnsiTheme="majorHAnsi"/>
        <w:sz w:val="18"/>
        <w:szCs w:val="18"/>
      </w:rPr>
      <w:t>9</w:t>
    </w:r>
    <w:r w:rsidRPr="005B29AF">
      <w:rPr>
        <w:rFonts w:asciiTheme="majorHAnsi" w:eastAsiaTheme="majorEastAsia" w:hAnsiTheme="majorHAnsi"/>
        <w:sz w:val="18"/>
        <w:szCs w:val="18"/>
      </w:rPr>
      <w:t>年</w:t>
    </w:r>
    <w:r w:rsidR="00A557D4" w:rsidRPr="005B29AF">
      <w:rPr>
        <w:rFonts w:asciiTheme="majorHAnsi" w:eastAsiaTheme="majorEastAsia" w:hAnsiTheme="majorHAnsi"/>
        <w:sz w:val="18"/>
        <w:szCs w:val="18"/>
      </w:rPr>
      <w:t>9</w:t>
    </w:r>
    <w:r w:rsidRPr="005B29AF">
      <w:rPr>
        <w:rFonts w:asciiTheme="majorHAnsi" w:eastAsiaTheme="majorEastAsia" w:hAnsiTheme="majorHAnsi"/>
        <w:sz w:val="18"/>
        <w:szCs w:val="18"/>
      </w:rPr>
      <w:t>月改訂</w:t>
    </w:r>
    <w:r w:rsidR="00686C7C" w:rsidRPr="005B29AF">
      <w:rPr>
        <w:rFonts w:asciiTheme="majorHAnsi" w:eastAsiaTheme="majorEastAsia" w:hAnsiTheme="majorHAnsi"/>
        <w:sz w:val="18"/>
        <w:szCs w:val="18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12B2C"/>
    <w:rsid w:val="00022CB6"/>
    <w:rsid w:val="00045EC3"/>
    <w:rsid w:val="000502F3"/>
    <w:rsid w:val="00064D4E"/>
    <w:rsid w:val="000662A5"/>
    <w:rsid w:val="00083470"/>
    <w:rsid w:val="000B210F"/>
    <w:rsid w:val="000B343C"/>
    <w:rsid w:val="000C7F72"/>
    <w:rsid w:val="000E1F19"/>
    <w:rsid w:val="001061D0"/>
    <w:rsid w:val="001112E4"/>
    <w:rsid w:val="00137D95"/>
    <w:rsid w:val="00143DB5"/>
    <w:rsid w:val="00155914"/>
    <w:rsid w:val="001617AE"/>
    <w:rsid w:val="001A6083"/>
    <w:rsid w:val="001D47FB"/>
    <w:rsid w:val="001D7585"/>
    <w:rsid w:val="001F7534"/>
    <w:rsid w:val="00213121"/>
    <w:rsid w:val="00230CDB"/>
    <w:rsid w:val="00233E36"/>
    <w:rsid w:val="00261296"/>
    <w:rsid w:val="00283EC8"/>
    <w:rsid w:val="00335865"/>
    <w:rsid w:val="00350DC0"/>
    <w:rsid w:val="00362324"/>
    <w:rsid w:val="00394454"/>
    <w:rsid w:val="003A402C"/>
    <w:rsid w:val="003A6DF5"/>
    <w:rsid w:val="003D1577"/>
    <w:rsid w:val="003E1956"/>
    <w:rsid w:val="003E796F"/>
    <w:rsid w:val="00422E0D"/>
    <w:rsid w:val="00433B36"/>
    <w:rsid w:val="0044792E"/>
    <w:rsid w:val="004A22F4"/>
    <w:rsid w:val="004A2CA5"/>
    <w:rsid w:val="004A6930"/>
    <w:rsid w:val="004B0AB0"/>
    <w:rsid w:val="004D2DEC"/>
    <w:rsid w:val="004D6B60"/>
    <w:rsid w:val="004E032B"/>
    <w:rsid w:val="004F7E4B"/>
    <w:rsid w:val="005156E3"/>
    <w:rsid w:val="005306C8"/>
    <w:rsid w:val="00553E22"/>
    <w:rsid w:val="00560FDE"/>
    <w:rsid w:val="005637CE"/>
    <w:rsid w:val="005855C7"/>
    <w:rsid w:val="00585C3F"/>
    <w:rsid w:val="0059341A"/>
    <w:rsid w:val="005A6601"/>
    <w:rsid w:val="005B29AF"/>
    <w:rsid w:val="005C1AE6"/>
    <w:rsid w:val="005D26AE"/>
    <w:rsid w:val="005F3621"/>
    <w:rsid w:val="005F73D4"/>
    <w:rsid w:val="00601A29"/>
    <w:rsid w:val="00631E8C"/>
    <w:rsid w:val="00640DC7"/>
    <w:rsid w:val="0065224A"/>
    <w:rsid w:val="006606B3"/>
    <w:rsid w:val="00686C7C"/>
    <w:rsid w:val="00692AED"/>
    <w:rsid w:val="006A0365"/>
    <w:rsid w:val="006C3EF6"/>
    <w:rsid w:val="006D33E4"/>
    <w:rsid w:val="006E5DCB"/>
    <w:rsid w:val="00715624"/>
    <w:rsid w:val="00735D3A"/>
    <w:rsid w:val="007415FF"/>
    <w:rsid w:val="007475A3"/>
    <w:rsid w:val="00747DD9"/>
    <w:rsid w:val="00751660"/>
    <w:rsid w:val="00757B59"/>
    <w:rsid w:val="007722AF"/>
    <w:rsid w:val="007942FE"/>
    <w:rsid w:val="007C3D58"/>
    <w:rsid w:val="007D4308"/>
    <w:rsid w:val="007D4E0B"/>
    <w:rsid w:val="007E0E7A"/>
    <w:rsid w:val="007E4CEF"/>
    <w:rsid w:val="007E6CF1"/>
    <w:rsid w:val="007F158E"/>
    <w:rsid w:val="007F18BA"/>
    <w:rsid w:val="007F7459"/>
    <w:rsid w:val="0082129F"/>
    <w:rsid w:val="00835A3C"/>
    <w:rsid w:val="00854AEF"/>
    <w:rsid w:val="008708D0"/>
    <w:rsid w:val="008C0604"/>
    <w:rsid w:val="008C1904"/>
    <w:rsid w:val="008C29FA"/>
    <w:rsid w:val="009027B7"/>
    <w:rsid w:val="00907833"/>
    <w:rsid w:val="009379A5"/>
    <w:rsid w:val="00945741"/>
    <w:rsid w:val="00954C5B"/>
    <w:rsid w:val="00955680"/>
    <w:rsid w:val="00964190"/>
    <w:rsid w:val="0096457C"/>
    <w:rsid w:val="009818F9"/>
    <w:rsid w:val="009A5039"/>
    <w:rsid w:val="009A6E4E"/>
    <w:rsid w:val="009D47FF"/>
    <w:rsid w:val="00A01ED8"/>
    <w:rsid w:val="00A12A19"/>
    <w:rsid w:val="00A33387"/>
    <w:rsid w:val="00A41486"/>
    <w:rsid w:val="00A557D4"/>
    <w:rsid w:val="00A8620B"/>
    <w:rsid w:val="00AC362A"/>
    <w:rsid w:val="00AD4C80"/>
    <w:rsid w:val="00AE08DE"/>
    <w:rsid w:val="00AE4055"/>
    <w:rsid w:val="00AE4832"/>
    <w:rsid w:val="00AF0994"/>
    <w:rsid w:val="00AF348F"/>
    <w:rsid w:val="00AF4823"/>
    <w:rsid w:val="00B33AD9"/>
    <w:rsid w:val="00B34258"/>
    <w:rsid w:val="00B360A8"/>
    <w:rsid w:val="00B42354"/>
    <w:rsid w:val="00B672C9"/>
    <w:rsid w:val="00B724E2"/>
    <w:rsid w:val="00B81654"/>
    <w:rsid w:val="00B96F0B"/>
    <w:rsid w:val="00BB090D"/>
    <w:rsid w:val="00BB6B87"/>
    <w:rsid w:val="00BE5DBA"/>
    <w:rsid w:val="00BF09CA"/>
    <w:rsid w:val="00C33E93"/>
    <w:rsid w:val="00C35304"/>
    <w:rsid w:val="00C36800"/>
    <w:rsid w:val="00C46520"/>
    <w:rsid w:val="00C504FA"/>
    <w:rsid w:val="00C50F17"/>
    <w:rsid w:val="00C6492B"/>
    <w:rsid w:val="00C64A4E"/>
    <w:rsid w:val="00C7052B"/>
    <w:rsid w:val="00CC7B12"/>
    <w:rsid w:val="00CE3208"/>
    <w:rsid w:val="00D0527A"/>
    <w:rsid w:val="00D105EB"/>
    <w:rsid w:val="00D12560"/>
    <w:rsid w:val="00D22A69"/>
    <w:rsid w:val="00D24D85"/>
    <w:rsid w:val="00D350A1"/>
    <w:rsid w:val="00D5581D"/>
    <w:rsid w:val="00D60872"/>
    <w:rsid w:val="00D81914"/>
    <w:rsid w:val="00D8623B"/>
    <w:rsid w:val="00D87C52"/>
    <w:rsid w:val="00DA2BD2"/>
    <w:rsid w:val="00DA776B"/>
    <w:rsid w:val="00DD0B74"/>
    <w:rsid w:val="00DD7B66"/>
    <w:rsid w:val="00E0066F"/>
    <w:rsid w:val="00E02427"/>
    <w:rsid w:val="00E034D0"/>
    <w:rsid w:val="00E52539"/>
    <w:rsid w:val="00E61D1D"/>
    <w:rsid w:val="00E6486C"/>
    <w:rsid w:val="00E66DA6"/>
    <w:rsid w:val="00E80A02"/>
    <w:rsid w:val="00EA231E"/>
    <w:rsid w:val="00EB79C0"/>
    <w:rsid w:val="00F0205A"/>
    <w:rsid w:val="00F021DD"/>
    <w:rsid w:val="00F17BF8"/>
    <w:rsid w:val="00F8583A"/>
    <w:rsid w:val="00F90CF6"/>
    <w:rsid w:val="00F94102"/>
    <w:rsid w:val="00F943A4"/>
    <w:rsid w:val="00FB085F"/>
    <w:rsid w:val="00FD2EF7"/>
    <w:rsid w:val="00FD33CF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2033-2601-408D-8821-138D3817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2019-09-24T02:48:00Z</dcterms:created>
  <dcterms:modified xsi:type="dcterms:W3CDTF">2019-09-24T03:00:00Z</dcterms:modified>
</cp:coreProperties>
</file>